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D908B8">
        <w:rPr>
          <w:rFonts w:ascii="Calibri" w:hAnsi="Calibri" w:cs="Arial"/>
          <w:b/>
          <w:bCs/>
          <w:iCs/>
          <w:color w:val="7F7F7F" w:themeColor="text1" w:themeTint="80"/>
          <w:sz w:val="26"/>
          <w:szCs w:val="26"/>
        </w:rPr>
        <w:t>1</w:t>
      </w:r>
      <w:r w:rsidR="0088234D">
        <w:rPr>
          <w:rFonts w:ascii="Calibri" w:hAnsi="Calibri" w:cs="Arial"/>
          <w:b/>
          <w:bCs/>
          <w:iCs/>
          <w:color w:val="7F7F7F" w:themeColor="text1" w:themeTint="80"/>
          <w:sz w:val="26"/>
          <w:szCs w:val="26"/>
        </w:rPr>
        <w:t>8</w:t>
      </w:r>
      <w:r w:rsidR="00953618">
        <w:rPr>
          <w:rFonts w:ascii="Calibri" w:hAnsi="Calibri" w:cs="Arial"/>
          <w:b/>
          <w:bCs/>
          <w:iCs/>
          <w:color w:val="7F7F7F" w:themeColor="text1" w:themeTint="80"/>
          <w:sz w:val="26"/>
          <w:szCs w:val="26"/>
        </w:rPr>
        <w:t xml:space="preserve"> </w:t>
      </w:r>
      <w:r w:rsidR="00D908B8">
        <w:rPr>
          <w:rFonts w:ascii="Calibri" w:hAnsi="Calibri" w:cs="Arial"/>
          <w:b/>
          <w:bCs/>
          <w:iCs/>
          <w:color w:val="7F7F7F" w:themeColor="text1" w:themeTint="80"/>
          <w:sz w:val="26"/>
          <w:szCs w:val="26"/>
        </w:rPr>
        <w:t>dieci</w:t>
      </w:r>
      <w:r w:rsidR="0088234D">
        <w:rPr>
          <w:rFonts w:ascii="Calibri" w:hAnsi="Calibri" w:cs="Arial"/>
          <w:b/>
          <w:bCs/>
          <w:iCs/>
          <w:color w:val="7F7F7F" w:themeColor="text1" w:themeTint="80"/>
          <w:sz w:val="26"/>
          <w:szCs w:val="26"/>
        </w:rPr>
        <w:t>ocho</w:t>
      </w:r>
      <w:r w:rsidR="00953618">
        <w:rPr>
          <w:rFonts w:ascii="Calibri" w:hAnsi="Calibri" w:cs="Arial"/>
          <w:b/>
          <w:bCs/>
          <w:iCs/>
          <w:color w:val="7F7F7F" w:themeColor="text1" w:themeTint="80"/>
          <w:sz w:val="26"/>
          <w:szCs w:val="26"/>
        </w:rPr>
        <w:t xml:space="preserve"> de abril</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D64D29">
        <w:rPr>
          <w:rFonts w:ascii="Calibri" w:hAnsi="Calibri" w:cs="Arial"/>
          <w:b/>
          <w:color w:val="7F7F7F" w:themeColor="text1" w:themeTint="80"/>
          <w:sz w:val="26"/>
          <w:szCs w:val="26"/>
        </w:rPr>
        <w:t>446/2015-JN</w:t>
      </w:r>
      <w:r w:rsidRPr="00BF5CA7">
        <w:rPr>
          <w:rFonts w:ascii="Calibri" w:hAnsi="Calibri" w:cs="Arial"/>
          <w:color w:val="7F7F7F" w:themeColor="text1" w:themeTint="80"/>
          <w:sz w:val="26"/>
          <w:szCs w:val="26"/>
        </w:rPr>
        <w:t xml:space="preserve">, promovido por </w:t>
      </w:r>
      <w:r w:rsidR="00D64D29">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D64D29">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481CA7">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00D908B8">
        <w:rPr>
          <w:rFonts w:ascii="Calibri" w:hAnsi="Calibri" w:cs="Arial"/>
          <w:color w:val="7F7F7F" w:themeColor="text1" w:themeTint="80"/>
          <w:sz w:val="26"/>
          <w:szCs w:val="26"/>
        </w:rPr>
        <w:t xml:space="preserve"> y,. . . . .</w:t>
      </w:r>
      <w:r w:rsidR="00771B81">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 . . . . . . . . . . . . . . . . . . . . . </w:t>
      </w:r>
      <w:r w:rsidR="00771B81">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8F7CBC">
        <w:rPr>
          <w:rFonts w:ascii="Calibri" w:hAnsi="Calibri" w:cs="Arial"/>
          <w:color w:val="7F7F7F" w:themeColor="text1" w:themeTint="80"/>
          <w:sz w:val="26"/>
          <w:szCs w:val="26"/>
        </w:rPr>
        <w:t>el actor</w:t>
      </w:r>
      <w:r w:rsidR="000022A1">
        <w:rPr>
          <w:rFonts w:ascii="Calibri" w:hAnsi="Calibri" w:cs="Arial"/>
          <w:color w:val="7F7F7F" w:themeColor="text1" w:themeTint="80"/>
          <w:sz w:val="26"/>
          <w:szCs w:val="26"/>
        </w:rPr>
        <w:t xml:space="preserve"> 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814513">
        <w:rPr>
          <w:rFonts w:ascii="Calibri" w:hAnsi="Calibri" w:cs="Arial"/>
          <w:color w:val="7F7F7F" w:themeColor="text1" w:themeTint="80"/>
          <w:sz w:val="26"/>
          <w:szCs w:val="26"/>
        </w:rPr>
        <w:t>14 catorce de mayo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814513">
        <w:rPr>
          <w:rFonts w:ascii="Calibri" w:hAnsi="Calibri" w:cs="Calibri"/>
          <w:color w:val="7F7F7F" w:themeColor="text1" w:themeTint="80"/>
          <w:sz w:val="26"/>
          <w:szCs w:val="26"/>
        </w:rPr>
        <w:t>14 catorce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D64D29">
        <w:rPr>
          <w:rFonts w:ascii="Calibri" w:hAnsi="Calibri" w:cs="Calibri"/>
          <w:b/>
          <w:color w:val="7F7F7F" w:themeColor="text1" w:themeTint="80"/>
          <w:sz w:val="26"/>
          <w:szCs w:val="26"/>
        </w:rPr>
        <w:t>446/2015-JN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814513">
        <w:rPr>
          <w:rFonts w:ascii="Calibri" w:hAnsi="Calibri"/>
          <w:color w:val="7F7F7F" w:themeColor="text1" w:themeTint="80"/>
          <w:sz w:val="26"/>
          <w:szCs w:val="26"/>
        </w:rPr>
        <w:t>DGFC/DT/</w:t>
      </w:r>
      <w:r w:rsidR="00D64D29">
        <w:rPr>
          <w:rFonts w:ascii="Calibri" w:hAnsi="Calibri"/>
          <w:color w:val="7F7F7F" w:themeColor="text1" w:themeTint="80"/>
          <w:sz w:val="26"/>
          <w:szCs w:val="26"/>
        </w:rPr>
        <w:t>0263</w:t>
      </w:r>
      <w:r w:rsidR="00814513">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8F7CBC">
        <w:rPr>
          <w:rFonts w:ascii="Calibri" w:hAnsi="Calibri"/>
          <w:color w:val="7F7F7F" w:themeColor="text1" w:themeTint="80"/>
          <w:sz w:val="26"/>
          <w:szCs w:val="26"/>
        </w:rPr>
        <w:t>el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00EF558F">
        <w:rPr>
          <w:rFonts w:ascii="Calibri" w:hAnsi="Calibri" w:cs="Calibri"/>
          <w:color w:val="7F7F7F" w:themeColor="text1" w:themeTint="80"/>
          <w:sz w:val="26"/>
          <w:szCs w:val="26"/>
        </w:rPr>
        <w:t>,</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871752">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871752">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871752">
        <w:rPr>
          <w:rFonts w:ascii="Calibri" w:hAnsi="Calibri" w:cs="Calibri"/>
          <w:color w:val="7F7F7F" w:themeColor="text1" w:themeTint="80"/>
          <w:sz w:val="26"/>
          <w:szCs w:val="26"/>
        </w:rPr>
        <w:t>iez</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w:t>
      </w:r>
      <w:r w:rsidR="00EF558F">
        <w:rPr>
          <w:rFonts w:ascii="Calibri" w:hAnsi="Calibri"/>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D36AA9">
        <w:rPr>
          <w:rFonts w:ascii="Calibri" w:hAnsi="Calibri"/>
          <w:b/>
          <w:bCs/>
          <w:i/>
          <w:iCs/>
          <w:color w:val="7F7F7F" w:themeColor="text1" w:themeTint="80"/>
          <w:sz w:val="26"/>
          <w:szCs w:val="26"/>
        </w:rPr>
        <w:t xml:space="preserve">CUARTO.- </w:t>
      </w:r>
      <w:r w:rsidRPr="00D36AA9">
        <w:rPr>
          <w:rFonts w:ascii="Calibri" w:hAnsi="Calibri"/>
          <w:bCs/>
          <w:iCs/>
          <w:color w:val="7F7F7F" w:themeColor="text1" w:themeTint="80"/>
          <w:sz w:val="26"/>
          <w:szCs w:val="26"/>
        </w:rPr>
        <w:t>Por ser su</w:t>
      </w:r>
      <w:r w:rsidRPr="00BF5CA7">
        <w:rPr>
          <w:rFonts w:ascii="Calibri" w:hAnsi="Calibri"/>
          <w:bCs/>
          <w:iCs/>
          <w:color w:val="7F7F7F" w:themeColor="text1" w:themeTint="80"/>
          <w:sz w:val="26"/>
          <w:szCs w:val="26"/>
        </w:rPr>
        <w:t xml:space="preserve">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r w:rsidR="00EF558F">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w:t>
      </w:r>
      <w:r w:rsidR="00E538D7">
        <w:rPr>
          <w:rFonts w:ascii="Calibri" w:hAnsi="Calibri"/>
          <w:bCs/>
          <w:iCs/>
          <w:color w:val="7F7F7F" w:themeColor="text1" w:themeTint="80"/>
          <w:sz w:val="26"/>
          <w:szCs w:val="26"/>
        </w:rPr>
        <w:t>demandado</w:t>
      </w:r>
      <w:r w:rsidRPr="00781737">
        <w:rPr>
          <w:rFonts w:ascii="Calibri" w:hAnsi="Calibri"/>
          <w:bCs/>
          <w:iCs/>
          <w:color w:val="7F7F7F" w:themeColor="text1" w:themeTint="80"/>
          <w:sz w:val="26"/>
          <w:szCs w:val="26"/>
        </w:rPr>
        <w:t>, exterioriz</w:t>
      </w:r>
      <w:r w:rsidR="00E538D7">
        <w:rPr>
          <w:rFonts w:ascii="Calibri" w:hAnsi="Calibri"/>
          <w:bCs/>
          <w:iCs/>
          <w:color w:val="7F7F7F" w:themeColor="text1" w:themeTint="80"/>
          <w:sz w:val="26"/>
          <w:szCs w:val="26"/>
        </w:rPr>
        <w:t>ó q</w:t>
      </w:r>
      <w:r w:rsidRPr="00781737">
        <w:rPr>
          <w:rFonts w:ascii="Calibri" w:hAnsi="Calibri"/>
          <w:bCs/>
          <w:iCs/>
          <w:color w:val="7F7F7F" w:themeColor="text1" w:themeTint="80"/>
          <w:sz w:val="26"/>
          <w:szCs w:val="26"/>
        </w:rPr>
        <w:t>ue el proceso es improcedente; aduciendo que se actualiza</w:t>
      </w:r>
      <w:r w:rsidR="00E538D7">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 fracciones I y VII, esta última concatenada con el artículo 251, del Código de Procedimiento y Justicia Administrativa antes citado; al referir, </w:t>
      </w:r>
      <w:r w:rsidR="00454C5C" w:rsidRPr="00454C5C">
        <w:rPr>
          <w:rFonts w:ascii="Calibri" w:hAnsi="Calibri"/>
          <w:bCs/>
          <w:i/>
          <w:iCs/>
          <w:color w:val="7F7F7F" w:themeColor="text1" w:themeTint="80"/>
          <w:sz w:val="26"/>
          <w:szCs w:val="26"/>
        </w:rPr>
        <w:t>“</w:t>
      </w:r>
      <w:r w:rsidRPr="00454C5C">
        <w:rPr>
          <w:rFonts w:ascii="Calibri" w:hAnsi="Calibri"/>
          <w:bCs/>
          <w:i/>
          <w:iCs/>
          <w:color w:val="7F7F7F" w:themeColor="text1" w:themeTint="80"/>
          <w:sz w:val="26"/>
          <w:szCs w:val="26"/>
        </w:rPr>
        <w:t>grosso modo</w:t>
      </w:r>
      <w:r w:rsidR="00454C5C">
        <w:rPr>
          <w:rFonts w:ascii="Calibri" w:hAnsi="Calibri"/>
          <w:bCs/>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w:t>
      </w:r>
      <w:r w:rsidR="0033670C">
        <w:rPr>
          <w:rFonts w:ascii="Calibri" w:hAnsi="Calibri"/>
          <w:bCs/>
          <w:iCs/>
          <w:color w:val="7F7F7F" w:themeColor="text1" w:themeTint="80"/>
          <w:sz w:val="26"/>
          <w:szCs w:val="26"/>
        </w:rPr>
        <w:t>del</w:t>
      </w:r>
      <w:r w:rsidRPr="00781737">
        <w:rPr>
          <w:rFonts w:ascii="Calibri" w:hAnsi="Calibri"/>
          <w:bCs/>
          <w:iCs/>
          <w:color w:val="7F7F7F" w:themeColor="text1" w:themeTint="80"/>
          <w:sz w:val="26"/>
          <w:szCs w:val="26"/>
        </w:rPr>
        <w:t xml:space="preserve"> impetrante, toda vez que no demuestra ser titular de un derecho subjetivo y que no le asiste ningún derecho que haya sido vulnerado . . . . . . . . . . . . . . . . . . . . . . . . . . . . . . . . . . </w:t>
      </w:r>
      <w:r w:rsidR="00454C5C">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w:t>
      </w:r>
      <w:r w:rsidR="0033670C">
        <w:rPr>
          <w:rFonts w:ascii="Calibri" w:hAnsi="Calibri"/>
          <w:bCs/>
          <w:iCs/>
          <w:color w:val="7F7F7F" w:themeColor="text1" w:themeTint="80"/>
          <w:sz w:val="26"/>
          <w:szCs w:val="26"/>
        </w:rPr>
        <w:t>del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w:t>
      </w:r>
      <w:r w:rsidR="00454C5C">
        <w:rPr>
          <w:rFonts w:ascii="Calibri" w:hAnsi="Calibri"/>
          <w:bCs/>
          <w:iCs/>
          <w:color w:val="7F7F7F" w:themeColor="text1" w:themeTint="80"/>
          <w:sz w:val="26"/>
          <w:szCs w:val="26"/>
        </w:rPr>
        <w:t xml:space="preserve">con </w:t>
      </w:r>
      <w:r w:rsidRPr="00781737">
        <w:rPr>
          <w:rFonts w:ascii="Calibri" w:hAnsi="Calibri"/>
          <w:bCs/>
          <w:iCs/>
          <w:color w:val="7F7F7F" w:themeColor="text1" w:themeTint="80"/>
          <w:sz w:val="26"/>
          <w:szCs w:val="26"/>
        </w:rPr>
        <w:t xml:space="preserve">número </w:t>
      </w:r>
      <w:r w:rsidR="00814513">
        <w:rPr>
          <w:rFonts w:ascii="Calibri" w:hAnsi="Calibri"/>
          <w:bCs/>
          <w:iCs/>
          <w:color w:val="7F7F7F" w:themeColor="text1" w:themeTint="80"/>
          <w:sz w:val="26"/>
          <w:szCs w:val="26"/>
        </w:rPr>
        <w:t>DGFC/DT/</w:t>
      </w:r>
      <w:r w:rsidR="00D64D29">
        <w:rPr>
          <w:rFonts w:ascii="Calibri" w:hAnsi="Calibri"/>
          <w:bCs/>
          <w:iCs/>
          <w:color w:val="7F7F7F" w:themeColor="text1" w:themeTint="80"/>
          <w:sz w:val="26"/>
          <w:szCs w:val="26"/>
        </w:rPr>
        <w:t>0263</w:t>
      </w:r>
      <w:r w:rsidR="00814513">
        <w:rPr>
          <w:rFonts w:ascii="Calibri" w:hAnsi="Calibri"/>
          <w:bCs/>
          <w:iCs/>
          <w:color w:val="7F7F7F" w:themeColor="text1" w:themeTint="80"/>
          <w:sz w:val="26"/>
          <w:szCs w:val="26"/>
        </w:rPr>
        <w:t>/2015/JA</w:t>
      </w:r>
      <w:r w:rsidRPr="00781737">
        <w:rPr>
          <w:rFonts w:ascii="Calibri" w:hAnsi="Calibri"/>
          <w:bCs/>
          <w:iCs/>
          <w:color w:val="7F7F7F" w:themeColor="text1" w:themeTint="80"/>
          <w:sz w:val="26"/>
          <w:szCs w:val="26"/>
        </w:rPr>
        <w:t xml:space="preserve">, </w:t>
      </w:r>
      <w:r w:rsidR="0028391D" w:rsidRPr="00781737">
        <w:rPr>
          <w:rFonts w:ascii="Calibri" w:hAnsi="Calibri"/>
          <w:bCs/>
          <w:iCs/>
          <w:color w:val="7F7F7F" w:themeColor="text1" w:themeTint="80"/>
          <w:sz w:val="26"/>
          <w:szCs w:val="26"/>
        </w:rPr>
        <w:t>mismo en el que</w:t>
      </w:r>
      <w:r w:rsidR="0028391D">
        <w:rPr>
          <w:rFonts w:ascii="Calibri" w:hAnsi="Calibri"/>
          <w:bCs/>
          <w:iCs/>
          <w:color w:val="7F7F7F" w:themeColor="text1" w:themeTint="80"/>
          <w:sz w:val="26"/>
          <w:szCs w:val="26"/>
        </w:rPr>
        <w:t>,</w:t>
      </w:r>
      <w:r w:rsidR="0028391D" w:rsidRPr="00781737">
        <w:rPr>
          <w:rFonts w:ascii="Calibri" w:hAnsi="Calibri"/>
          <w:bCs/>
          <w:iCs/>
          <w:color w:val="7F7F7F" w:themeColor="text1" w:themeTint="80"/>
          <w:sz w:val="26"/>
          <w:szCs w:val="26"/>
        </w:rPr>
        <w:t xml:space="preserve"> eventualmente, podría imponérsele alguna sanción, </w:t>
      </w:r>
      <w:r w:rsidRPr="00781737">
        <w:rPr>
          <w:rFonts w:ascii="Calibri" w:hAnsi="Calibri"/>
          <w:bCs/>
          <w:iCs/>
          <w:color w:val="7F7F7F" w:themeColor="text1" w:themeTint="80"/>
          <w:sz w:val="26"/>
          <w:szCs w:val="26"/>
        </w:rPr>
        <w:t xml:space="preserve">además de que se clausuró una máquina de juegos de azar que se encontraba al interior del establecimiento visitado, lo que sí afecta la esfera de derechos </w:t>
      </w:r>
      <w:r w:rsidR="0033670C">
        <w:rPr>
          <w:rFonts w:ascii="Calibri" w:hAnsi="Calibri"/>
          <w:bCs/>
          <w:iCs/>
          <w:color w:val="7F7F7F" w:themeColor="text1" w:themeTint="80"/>
          <w:sz w:val="26"/>
          <w:szCs w:val="26"/>
        </w:rPr>
        <w:t>del</w:t>
      </w:r>
      <w:r w:rsidRPr="00781737">
        <w:rPr>
          <w:rFonts w:ascii="Calibri" w:hAnsi="Calibri"/>
          <w:bCs/>
          <w:iCs/>
          <w:color w:val="7F7F7F" w:themeColor="text1" w:themeTint="80"/>
          <w:sz w:val="26"/>
          <w:szCs w:val="26"/>
        </w:rPr>
        <w:t xml:space="preserve"> actor,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w:t>
      </w:r>
      <w:r w:rsidR="00D36C23">
        <w:rPr>
          <w:rFonts w:ascii="Calibri" w:hAnsi="Calibri"/>
          <w:bCs/>
          <w:iCs/>
          <w:color w:val="7F7F7F" w:themeColor="text1" w:themeTint="80"/>
          <w:sz w:val="26"/>
          <w:szCs w:val="26"/>
        </w:rPr>
        <w:t>e sí se encuentra legitimado</w:t>
      </w:r>
      <w:r w:rsidRPr="00781737">
        <w:rPr>
          <w:rFonts w:ascii="Calibri" w:hAnsi="Calibri"/>
          <w:bCs/>
          <w:iCs/>
          <w:color w:val="7F7F7F" w:themeColor="text1" w:themeTint="80"/>
          <w:sz w:val="26"/>
          <w:szCs w:val="26"/>
        </w:rPr>
        <w:t xml:space="preserve"> para promover el proceso que nos ocupa. . . . . . . . . . . . . . . .</w:t>
      </w:r>
      <w:r w:rsidR="00454C5C">
        <w:rPr>
          <w:rFonts w:ascii="Calibri" w:hAnsi="Calibri"/>
          <w:bCs/>
          <w:iCs/>
          <w:color w:val="7F7F7F" w:themeColor="text1" w:themeTint="80"/>
          <w:sz w:val="26"/>
          <w:szCs w:val="26"/>
        </w:rPr>
        <w:t xml:space="preserve"> . . . . . . . . . . . . . . . . . . . . . . . . . . . . . . . . . .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1D2D49">
        <w:rPr>
          <w:rFonts w:ascii="Calibri" w:hAnsi="Calibri"/>
          <w:bCs/>
          <w:iCs/>
          <w:color w:val="7F7F7F" w:themeColor="text1" w:themeTint="80"/>
          <w:sz w:val="26"/>
          <w:szCs w:val="26"/>
        </w:rPr>
        <w:t>es</w:t>
      </w:r>
      <w:r w:rsidRPr="00E50512">
        <w:rPr>
          <w:rFonts w:ascii="Calibri" w:hAnsi="Calibri"/>
          <w:b/>
          <w:bCs/>
          <w:iCs/>
          <w:color w:val="7F7F7F" w:themeColor="text1" w:themeTint="80"/>
          <w:sz w:val="26"/>
          <w:szCs w:val="26"/>
        </w:rPr>
        <w:t xml:space="preserve"> procedente</w:t>
      </w:r>
      <w:r w:rsidRPr="00E50512">
        <w:rPr>
          <w:rFonts w:ascii="Calibri" w:hAnsi="Calibri"/>
          <w:bCs/>
          <w:iCs/>
          <w:color w:val="7F7F7F" w:themeColor="text1" w:themeTint="80"/>
          <w:sz w:val="26"/>
          <w:szCs w:val="26"/>
        </w:rPr>
        <w:t xml:space="preserve"> el presente proceso respecto de esos actos administrativos. . . . .</w:t>
      </w:r>
      <w:r w:rsidR="00DF0A60">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7F04D1">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814513">
        <w:rPr>
          <w:rFonts w:ascii="Calibri" w:hAnsi="Calibri"/>
          <w:color w:val="7F7F7F" w:themeColor="text1" w:themeTint="80"/>
          <w:sz w:val="26"/>
          <w:szCs w:val="26"/>
        </w:rPr>
        <w:t>14 catorce de mayo</w:t>
      </w:r>
      <w:r w:rsidRPr="00BF5CA7">
        <w:rPr>
          <w:rFonts w:ascii="Calibri" w:hAnsi="Calibri"/>
          <w:color w:val="7F7F7F" w:themeColor="text1" w:themeTint="80"/>
          <w:sz w:val="26"/>
          <w:szCs w:val="26"/>
        </w:rPr>
        <w:t xml:space="preserve"> del año 2015 dos mil quince, dentro del expediente número </w:t>
      </w:r>
      <w:r w:rsidR="00814513">
        <w:rPr>
          <w:rFonts w:ascii="Calibri" w:hAnsi="Calibri"/>
          <w:color w:val="7F7F7F" w:themeColor="text1" w:themeTint="80"/>
          <w:sz w:val="26"/>
          <w:szCs w:val="26"/>
        </w:rPr>
        <w:t>DGFC/DT/</w:t>
      </w:r>
      <w:r w:rsidR="00D64D29">
        <w:rPr>
          <w:rFonts w:ascii="Calibri" w:hAnsi="Calibri"/>
          <w:color w:val="7F7F7F" w:themeColor="text1" w:themeTint="80"/>
          <w:sz w:val="26"/>
          <w:szCs w:val="26"/>
        </w:rPr>
        <w:t>0263</w:t>
      </w:r>
      <w:r w:rsidR="00814513">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481CA7">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w:t>
      </w:r>
      <w:r w:rsidRPr="00BF5CA7">
        <w:rPr>
          <w:rFonts w:ascii="Calibri" w:hAnsi="Calibri"/>
          <w:color w:val="7F7F7F" w:themeColor="text1" w:themeTint="80"/>
          <w:sz w:val="26"/>
          <w:szCs w:val="26"/>
        </w:rPr>
        <w:lastRenderedPageBreak/>
        <w:t xml:space="preserve">Establecimientos Comerciales y de Servicios en el Municipio de León, Guanajuato, en vigor; en el establecimiento ubicado en el domicilio marcado con </w:t>
      </w:r>
      <w:bookmarkStart w:id="0" w:name="_GoBack"/>
      <w:r w:rsidR="00481CA7">
        <w:rPr>
          <w:rFonts w:ascii="Calibri" w:hAnsi="Calibri"/>
          <w:color w:val="7F7F7F" w:themeColor="text1" w:themeTint="80"/>
          <w:sz w:val="26"/>
          <w:szCs w:val="26"/>
        </w:rPr>
        <w:t>*****</w:t>
      </w:r>
      <w:bookmarkEnd w:id="0"/>
      <w:r w:rsidR="00E538D7">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xml:space="preserve">; llevando a cabo la visita de inspección; entendiendo la diligencia con </w:t>
      </w:r>
      <w:r w:rsidR="000210EF">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w:t>
      </w:r>
      <w:r w:rsidR="00D2786B">
        <w:rPr>
          <w:rFonts w:ascii="Calibri" w:hAnsi="Calibri"/>
          <w:color w:val="7F7F7F" w:themeColor="text1" w:themeTint="80"/>
          <w:sz w:val="26"/>
          <w:szCs w:val="26"/>
        </w:rPr>
        <w:t xml:space="preserve">urarla.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D36C23">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7F04D1">
        <w:rPr>
          <w:rFonts w:ascii="Calibri" w:hAnsi="Calibri" w:cs="Calibri"/>
          <w:iCs/>
          <w:color w:val="7F7F7F" w:themeColor="text1" w:themeTint="80"/>
          <w:sz w:val="26"/>
          <w:szCs w:val="26"/>
        </w:rPr>
        <w:t xml:space="preserve">el </w:t>
      </w:r>
      <w:r w:rsidRPr="00BF5CA7">
        <w:rPr>
          <w:rFonts w:ascii="Calibri" w:hAnsi="Calibri" w:cs="Calibri"/>
          <w:iCs/>
          <w:color w:val="7F7F7F" w:themeColor="text1" w:themeTint="80"/>
          <w:sz w:val="26"/>
          <w:szCs w:val="26"/>
        </w:rPr>
        <w:t xml:space="preserve">impetrante, el Director enjuiciado, </w:t>
      </w:r>
      <w:r w:rsidR="00E538D7">
        <w:rPr>
          <w:rFonts w:ascii="Calibri" w:hAnsi="Calibri" w:cs="Calibri"/>
          <w:iCs/>
          <w:color w:val="7F7F7F" w:themeColor="text1" w:themeTint="80"/>
          <w:sz w:val="26"/>
          <w:szCs w:val="26"/>
        </w:rPr>
        <w:t xml:space="preserve">contestó </w:t>
      </w:r>
      <w:r w:rsidR="00EC7D6A">
        <w:rPr>
          <w:rFonts w:ascii="Calibri" w:hAnsi="Calibri" w:cs="Calibri"/>
          <w:iCs/>
          <w:color w:val="7F7F7F" w:themeColor="text1" w:themeTint="80"/>
          <w:sz w:val="26"/>
          <w:szCs w:val="26"/>
        </w:rPr>
        <w:t xml:space="preserve">que era legal el procedimiento elaborado y que </w:t>
      </w:r>
      <w:r w:rsidR="000210EF">
        <w:rPr>
          <w:rFonts w:ascii="Calibri" w:hAnsi="Calibri" w:cs="Calibri"/>
          <w:iCs/>
          <w:color w:val="7F7F7F" w:themeColor="text1" w:themeTint="80"/>
          <w:sz w:val="26"/>
          <w:szCs w:val="26"/>
        </w:rPr>
        <w:t>el</w:t>
      </w:r>
      <w:r w:rsidR="00EC7D6A">
        <w:rPr>
          <w:rFonts w:ascii="Calibri" w:hAnsi="Calibri" w:cs="Calibri"/>
          <w:iCs/>
          <w:color w:val="7F7F7F" w:themeColor="text1" w:themeTint="80"/>
          <w:sz w:val="26"/>
          <w:szCs w:val="26"/>
        </w:rPr>
        <w:t xml:space="preserve"> actor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BF5E63">
        <w:rPr>
          <w:rFonts w:ascii="Calibri" w:hAnsi="Calibri" w:cs="Calibri"/>
          <w:iCs/>
          <w:color w:val="7F7F7F" w:themeColor="text1" w:themeTint="80"/>
          <w:sz w:val="26"/>
          <w:szCs w:val="26"/>
        </w:rPr>
        <w:t xml:space="preserve">.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BF5E63"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BF5E63">
        <w:rPr>
          <w:rFonts w:ascii="Calibri" w:hAnsi="Calibri" w:cs="Calibri"/>
          <w:i/>
          <w:color w:val="7F7F7F" w:themeColor="text1" w:themeTint="80"/>
          <w:sz w:val="26"/>
          <w:szCs w:val="26"/>
        </w:rPr>
        <w:t>“</w:t>
      </w:r>
      <w:proofErr w:type="spellStart"/>
      <w:r w:rsidRPr="00BF5E63">
        <w:rPr>
          <w:rFonts w:ascii="Calibri" w:hAnsi="Calibri" w:cs="Calibri"/>
          <w:i/>
          <w:color w:val="7F7F7F" w:themeColor="text1" w:themeTint="80"/>
          <w:sz w:val="26"/>
          <w:szCs w:val="26"/>
        </w:rPr>
        <w:t>litis</w:t>
      </w:r>
      <w:proofErr w:type="spellEnd"/>
      <w:r w:rsidRPr="00BF5E63">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814513">
        <w:rPr>
          <w:rFonts w:ascii="Calibri" w:hAnsi="Calibri"/>
          <w:color w:val="7F7F7F" w:themeColor="text1" w:themeTint="80"/>
          <w:sz w:val="26"/>
          <w:szCs w:val="26"/>
        </w:rPr>
        <w:t>14 catorce de mayo</w:t>
      </w:r>
      <w:r w:rsidRPr="00BF5CA7">
        <w:rPr>
          <w:rFonts w:ascii="Calibri" w:hAnsi="Calibri"/>
          <w:color w:val="7F7F7F" w:themeColor="text1" w:themeTint="80"/>
          <w:sz w:val="26"/>
          <w:szCs w:val="26"/>
        </w:rPr>
        <w:t xml:space="preserve"> del año 2015 dos mil quince, emitida dentro del expediente con número </w:t>
      </w:r>
      <w:r w:rsidR="00814513">
        <w:rPr>
          <w:rFonts w:ascii="Calibri" w:hAnsi="Calibri"/>
          <w:color w:val="7F7F7F" w:themeColor="text1" w:themeTint="80"/>
          <w:sz w:val="26"/>
          <w:szCs w:val="26"/>
        </w:rPr>
        <w:t>DGFC/DT/</w:t>
      </w:r>
      <w:r w:rsidR="00D64D29">
        <w:rPr>
          <w:rFonts w:ascii="Calibri" w:hAnsi="Calibri"/>
          <w:color w:val="7F7F7F" w:themeColor="text1" w:themeTint="80"/>
          <w:sz w:val="26"/>
          <w:szCs w:val="26"/>
        </w:rPr>
        <w:t>0263</w:t>
      </w:r>
      <w:r w:rsidR="00814513">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w:t>
      </w:r>
    </w:p>
    <w:p w:rsidR="00BF5E63" w:rsidRDefault="00BF5E63" w:rsidP="00BF5E6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446/2015-JN</w:t>
      </w:r>
    </w:p>
    <w:p w:rsidR="00BF5E63" w:rsidRDefault="00BF5E63" w:rsidP="00BF5E63">
      <w:pPr>
        <w:jc w:val="both"/>
        <w:rPr>
          <w:rFonts w:ascii="Calibri" w:hAnsi="Calibri"/>
          <w:color w:val="7F7F7F" w:themeColor="text1" w:themeTint="80"/>
          <w:sz w:val="26"/>
          <w:szCs w:val="26"/>
        </w:rPr>
      </w:pPr>
    </w:p>
    <w:p w:rsidR="004B3DFC" w:rsidRPr="00BF5CA7" w:rsidRDefault="004B3DFC" w:rsidP="00BF5E63">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levantamiento</w:t>
      </w:r>
      <w:proofErr w:type="gramEnd"/>
      <w:r w:rsidRPr="00BF5CA7">
        <w:rPr>
          <w:rFonts w:ascii="Calibri" w:hAnsi="Calibri"/>
          <w:color w:val="7F7F7F" w:themeColor="text1" w:themeTint="80"/>
          <w:sz w:val="26"/>
          <w:szCs w:val="26"/>
        </w:rPr>
        <w:t xml:space="preserve">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 xml:space="preserve">No existiendo impedimento legal, se procede a analizar los conceptos de impugnación hechos valer por </w:t>
      </w:r>
      <w:r w:rsidR="00D36C23">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justiciable. . . . . . . . . . . . . . . . . . . . </w:t>
      </w:r>
    </w:p>
    <w:p w:rsidR="00D77803" w:rsidRDefault="00D77803" w:rsidP="00BF5E63">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7F04D1">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B82CC3">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r w:rsidR="006F15FA">
        <w:rPr>
          <w:rFonts w:ascii="Calibri" w:hAnsi="Calibri"/>
          <w:color w:val="7F7F7F" w:themeColor="text1" w:themeTint="80"/>
          <w:sz w:val="26"/>
          <w:szCs w:val="26"/>
        </w:rPr>
        <w:t xml:space="preserve">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w:t>
      </w:r>
      <w:r w:rsidRPr="00BF5CA7">
        <w:rPr>
          <w:rFonts w:ascii="Calibri" w:hAnsi="Calibri"/>
          <w:i/>
          <w:iCs/>
          <w:color w:val="7F7F7F" w:themeColor="text1" w:themeTint="80"/>
          <w:sz w:val="26"/>
          <w:szCs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F634CD">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4F4506">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w:t>
      </w:r>
      <w:r w:rsidR="00E538D7">
        <w:rPr>
          <w:rFonts w:ascii="Calibri" w:hAnsi="Calibri"/>
          <w:iCs/>
          <w:color w:val="7F7F7F" w:themeColor="text1" w:themeTint="80"/>
          <w:sz w:val="26"/>
          <w:szCs w:val="26"/>
        </w:rPr>
        <w:t>el Director demandado</w:t>
      </w:r>
      <w:r w:rsidRPr="006071F6">
        <w:rPr>
          <w:rFonts w:ascii="Calibri" w:hAnsi="Calibri"/>
          <w:iCs/>
          <w:color w:val="7F7F7F" w:themeColor="text1" w:themeTint="80"/>
          <w:sz w:val="26"/>
          <w:szCs w:val="26"/>
        </w:rPr>
        <w:t xml:space="preserve"> expres</w:t>
      </w:r>
      <w:r w:rsidR="00E538D7">
        <w:rPr>
          <w:rFonts w:ascii="Calibri" w:hAnsi="Calibri"/>
          <w:iCs/>
          <w:color w:val="7F7F7F" w:themeColor="text1" w:themeTint="80"/>
          <w:sz w:val="26"/>
          <w:szCs w:val="26"/>
        </w:rPr>
        <w:t>ó</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Pr="004F4506"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4F4506">
        <w:rPr>
          <w:rFonts w:asciiTheme="minorHAnsi" w:hAnsiTheme="minorHAnsi"/>
          <w:color w:val="7F7F7F" w:themeColor="text1" w:themeTint="80"/>
          <w:sz w:val="26"/>
          <w:szCs w:val="26"/>
        </w:rPr>
        <w:t>.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w:t>
      </w:r>
      <w:r w:rsidR="004F4506">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4F4506"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 xml:space="preserve">no son atribuibles en concreto al Titular </w:t>
      </w:r>
    </w:p>
    <w:p w:rsidR="004F4506" w:rsidRDefault="004F4506" w:rsidP="004F450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446/2015-JN</w:t>
      </w:r>
    </w:p>
    <w:p w:rsidR="004F4506" w:rsidRDefault="004F4506" w:rsidP="00A8545F">
      <w:pPr>
        <w:pStyle w:val="Default"/>
        <w:ind w:firstLine="708"/>
        <w:jc w:val="both"/>
        <w:rPr>
          <w:rFonts w:ascii="Calibri" w:hAnsi="Calibri" w:cs="Calibri"/>
          <w:bCs/>
          <w:iCs/>
          <w:color w:val="767171" w:themeColor="background2" w:themeShade="80"/>
          <w:sz w:val="26"/>
          <w:szCs w:val="26"/>
        </w:rPr>
      </w:pPr>
    </w:p>
    <w:p w:rsidR="00343E70" w:rsidRPr="00A8545F" w:rsidRDefault="00343E70" w:rsidP="004F4506">
      <w:pPr>
        <w:pStyle w:val="Default"/>
        <w:jc w:val="both"/>
        <w:rPr>
          <w:rFonts w:asciiTheme="minorHAnsi" w:hAnsiTheme="minorHAnsi"/>
          <w:color w:val="FF0000"/>
          <w:sz w:val="26"/>
          <w:szCs w:val="26"/>
        </w:rPr>
      </w:pPr>
      <w:r w:rsidRPr="00833B37">
        <w:rPr>
          <w:rFonts w:ascii="Calibri" w:hAnsi="Calibri" w:cs="Calibri"/>
          <w:bCs/>
          <w:iCs/>
          <w:color w:val="767171" w:themeColor="background2" w:themeShade="80"/>
          <w:sz w:val="26"/>
          <w:szCs w:val="26"/>
        </w:rPr>
        <w:t>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w:t>
      </w:r>
      <w:r w:rsidR="00DB641E">
        <w:rPr>
          <w:rFonts w:ascii="Calibri" w:hAnsi="Calibri" w:cs="Calibri"/>
          <w:bCs/>
          <w:iCs/>
          <w:color w:val="7F7F7F" w:themeColor="text1" w:themeTint="80"/>
          <w:sz w:val="26"/>
          <w:szCs w:val="26"/>
        </w:rPr>
        <w:lastRenderedPageBreak/>
        <w:t>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CE2374">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w:t>
      </w:r>
      <w:r w:rsidR="00E538D7">
        <w:rPr>
          <w:rFonts w:ascii="Calibri" w:hAnsi="Calibri" w:cs="Calibri"/>
          <w:b w:val="0"/>
          <w:bCs w:val="0"/>
          <w:iCs/>
          <w:color w:val="7F7F7F" w:themeColor="text1" w:themeTint="80"/>
          <w:sz w:val="26"/>
          <w:szCs w:val="26"/>
          <w:lang w:val="es-MX"/>
        </w:rPr>
        <w:t>o que hace a lo señalado por Director enjuiciado,</w:t>
      </w:r>
      <w:r w:rsidR="009E15DC" w:rsidRPr="00562A66">
        <w:rPr>
          <w:rFonts w:ascii="Calibri" w:hAnsi="Calibri" w:cs="Calibri"/>
          <w:b w:val="0"/>
          <w:bCs w:val="0"/>
          <w:iCs/>
          <w:color w:val="7F7F7F" w:themeColor="text1" w:themeTint="80"/>
          <w:sz w:val="26"/>
          <w:szCs w:val="26"/>
          <w:lang w:val="es-MX"/>
        </w:rPr>
        <w:t xml:space="preserve"> en su escrito de contestación de demanda, en </w:t>
      </w:r>
      <w:r w:rsidR="00E538D7">
        <w:rPr>
          <w:rFonts w:ascii="Calibri" w:hAnsi="Calibri" w:cs="Calibri"/>
          <w:b w:val="0"/>
          <w:bCs w:val="0"/>
          <w:iCs/>
          <w:color w:val="7F7F7F" w:themeColor="text1" w:themeTint="80"/>
          <w:sz w:val="26"/>
          <w:szCs w:val="26"/>
          <w:lang w:val="es-MX"/>
        </w:rPr>
        <w:t>el</w:t>
      </w:r>
      <w:r w:rsidR="009E15DC" w:rsidRPr="00562A66">
        <w:rPr>
          <w:rFonts w:ascii="Calibri" w:hAnsi="Calibri" w:cs="Calibri"/>
          <w:b w:val="0"/>
          <w:bCs w:val="0"/>
          <w:iCs/>
          <w:color w:val="7F7F7F" w:themeColor="text1" w:themeTint="80"/>
          <w:sz w:val="26"/>
          <w:szCs w:val="26"/>
          <w:lang w:val="es-MX"/>
        </w:rPr>
        <w:t xml:space="preserve"> que señal</w:t>
      </w:r>
      <w:r w:rsidR="00E538D7">
        <w:rPr>
          <w:rFonts w:ascii="Calibri" w:hAnsi="Calibri" w:cs="Calibri"/>
          <w:b w:val="0"/>
          <w:bCs w:val="0"/>
          <w:iCs/>
          <w:color w:val="7F7F7F" w:themeColor="text1" w:themeTint="80"/>
          <w:sz w:val="26"/>
          <w:szCs w:val="26"/>
          <w:lang w:val="es-MX"/>
        </w:rPr>
        <w:t>ó</w:t>
      </w:r>
      <w:r w:rsidR="009E15DC" w:rsidRPr="00562A66">
        <w:rPr>
          <w:rFonts w:ascii="Calibri" w:hAnsi="Calibri" w:cs="Calibri"/>
          <w:b w:val="0"/>
          <w:bCs w:val="0"/>
          <w:iCs/>
          <w:color w:val="7F7F7F" w:themeColor="text1" w:themeTint="80"/>
          <w:sz w:val="26"/>
          <w:szCs w:val="26"/>
          <w:lang w:val="es-MX"/>
        </w:rPr>
        <w:t xml:space="preserve">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CE2374">
        <w:rPr>
          <w:rFonts w:ascii="Calibri" w:hAnsi="Calibri" w:cs="Calibri"/>
          <w:b w:val="0"/>
          <w:bCs w:val="0"/>
          <w:iCs/>
          <w:color w:val="7F7F7F" w:themeColor="text1" w:themeTint="80"/>
          <w:sz w:val="26"/>
          <w:szCs w:val="26"/>
          <w:lang w:val="es-MX"/>
        </w:rPr>
        <w:t>.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06631B" w:rsidRDefault="0006631B" w:rsidP="009661F2">
      <w:pPr>
        <w:pStyle w:val="CABEZAS"/>
        <w:tabs>
          <w:tab w:val="left" w:pos="1134"/>
        </w:tabs>
        <w:jc w:val="both"/>
        <w:rPr>
          <w:rFonts w:ascii="Calibri" w:hAnsi="Calibri" w:cs="Calibri"/>
          <w:b w:val="0"/>
          <w:bCs w:val="0"/>
          <w:iCs/>
          <w:color w:val="767171" w:themeColor="background2" w:themeShade="80"/>
          <w:sz w:val="26"/>
          <w:szCs w:val="26"/>
          <w:lang w:val="es-MX"/>
        </w:rPr>
      </w:pPr>
    </w:p>
    <w:p w:rsidR="009661F2" w:rsidRPr="009661F2" w:rsidRDefault="0006631B"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ab/>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814513">
        <w:rPr>
          <w:rFonts w:ascii="Calibri" w:hAnsi="Calibri"/>
          <w:b/>
          <w:color w:val="7F7F7F" w:themeColor="text1" w:themeTint="80"/>
          <w:sz w:val="26"/>
          <w:szCs w:val="26"/>
        </w:rPr>
        <w:t xml:space="preserve">14 </w:t>
      </w:r>
      <w:r w:rsidR="00814513" w:rsidRPr="00E538D7">
        <w:rPr>
          <w:rFonts w:ascii="Calibri" w:hAnsi="Calibri"/>
          <w:color w:val="7F7F7F" w:themeColor="text1" w:themeTint="80"/>
          <w:sz w:val="26"/>
          <w:szCs w:val="26"/>
        </w:rPr>
        <w:t>catorce de</w:t>
      </w:r>
      <w:r w:rsidR="00814513">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D64D29">
        <w:rPr>
          <w:rFonts w:ascii="Calibri" w:hAnsi="Calibri"/>
          <w:b/>
          <w:color w:val="7F7F7F" w:themeColor="text1" w:themeTint="80"/>
          <w:sz w:val="26"/>
          <w:szCs w:val="26"/>
        </w:rPr>
        <w:t>0263</w:t>
      </w:r>
      <w:r w:rsidR="00324A7D">
        <w:rPr>
          <w:rFonts w:ascii="Calibri" w:hAnsi="Calibri"/>
          <w:b/>
          <w:color w:val="7F7F7F" w:themeColor="text1" w:themeTint="80"/>
          <w:sz w:val="26"/>
          <w:szCs w:val="26"/>
        </w:rPr>
        <w:t>/2015/</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 xml:space="preserve">n el mismo número de </w:t>
      </w:r>
      <w:r w:rsidR="00FA04C4" w:rsidRPr="00F9490B">
        <w:rPr>
          <w:rFonts w:ascii="Calibri" w:hAnsi="Calibri"/>
          <w:color w:val="7F7F7F" w:themeColor="text1" w:themeTint="80"/>
          <w:sz w:val="26"/>
          <w:szCs w:val="26"/>
        </w:rPr>
        <w:lastRenderedPageBreak/>
        <w:t>expediente</w:t>
      </w:r>
      <w:r w:rsidR="00FA04C4" w:rsidRPr="00F9490B">
        <w:rPr>
          <w:rFonts w:ascii="Calibri" w:hAnsi="Calibri"/>
          <w:bCs/>
          <w:color w:val="7F7F7F" w:themeColor="text1" w:themeTint="80"/>
          <w:sz w:val="26"/>
          <w:szCs w:val="26"/>
        </w:rPr>
        <w:t>;</w:t>
      </w:r>
      <w:r w:rsidR="00FC2859">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06631B">
        <w:rPr>
          <w:rFonts w:ascii="Calibri" w:hAnsi="Calibri"/>
          <w:color w:val="7F7F7F" w:themeColor="text1" w:themeTint="80"/>
          <w:sz w:val="26"/>
          <w:szCs w:val="27"/>
        </w:rPr>
        <w:t xml:space="preserve">.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281B2A" w:rsidRDefault="00281B2A" w:rsidP="00A32EE2">
      <w:pPr>
        <w:pStyle w:val="Textoindependiente"/>
        <w:ind w:firstLine="708"/>
        <w:rPr>
          <w:rFonts w:ascii="Calibri" w:hAnsi="Calibri" w:cs="Arial"/>
          <w:color w:val="7F7F7F" w:themeColor="text1" w:themeTint="80"/>
          <w:sz w:val="26"/>
          <w:szCs w:val="26"/>
        </w:rPr>
      </w:pPr>
    </w:p>
    <w:p w:rsidR="00281B2A" w:rsidRDefault="00281B2A" w:rsidP="00281B2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446/2015-JN</w:t>
      </w:r>
    </w:p>
    <w:p w:rsidR="00281B2A" w:rsidRDefault="00281B2A" w:rsidP="00A32EE2">
      <w:pPr>
        <w:pStyle w:val="Textoindependiente"/>
        <w:ind w:firstLine="708"/>
        <w:rPr>
          <w:rFonts w:ascii="Calibri" w:hAnsi="Calibri" w:cs="Arial"/>
          <w:color w:val="7F7F7F" w:themeColor="text1" w:themeTint="80"/>
          <w:sz w:val="26"/>
          <w:szCs w:val="26"/>
        </w:rPr>
      </w:pPr>
    </w:p>
    <w:p w:rsidR="00A32EE2" w:rsidRDefault="00F54858" w:rsidP="00281B2A">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w:t>
      </w:r>
      <w:r w:rsidR="0030638D">
        <w:rPr>
          <w:rFonts w:ascii="Calibri" w:hAnsi="Calibri" w:cs="Arial"/>
          <w:color w:val="7F7F7F" w:themeColor="text1" w:themeTint="80"/>
          <w:sz w:val="26"/>
          <w:szCs w:val="26"/>
        </w:rPr>
        <w:t>clausura</w:t>
      </w:r>
      <w:r w:rsidR="00A32EE2" w:rsidRPr="00A32EE2">
        <w:rPr>
          <w:rFonts w:ascii="Calibri" w:hAnsi="Calibri" w:cs="Arial"/>
          <w:color w:val="7F7F7F" w:themeColor="text1" w:themeTint="80"/>
          <w:sz w:val="26"/>
          <w:szCs w:val="26"/>
        </w:rPr>
        <w:t xml:space="preserve">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9A23DB" w:rsidRDefault="002974BB" w:rsidP="0028391D">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C32EA3">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7F04D1">
        <w:rPr>
          <w:rFonts w:ascii="Calibri" w:hAnsi="Calibri" w:cs="Calibri"/>
          <w:color w:val="7F7F7F" w:themeColor="text1" w:themeTint="80"/>
          <w:sz w:val="26"/>
          <w:szCs w:val="26"/>
        </w:rPr>
        <w:t xml:space="preserve">el </w:t>
      </w:r>
      <w:r w:rsidRPr="00BF5CA7">
        <w:rPr>
          <w:rFonts w:ascii="Calibri" w:hAnsi="Calibri" w:cs="Calibri"/>
          <w:color w:val="7F7F7F" w:themeColor="text1" w:themeTint="80"/>
          <w:sz w:val="26"/>
          <w:szCs w:val="26"/>
        </w:rPr>
        <w:t xml:space="preserve">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814513">
        <w:rPr>
          <w:rFonts w:ascii="Calibri" w:hAnsi="Calibri"/>
          <w:color w:val="7F7F7F" w:themeColor="text1" w:themeTint="80"/>
          <w:sz w:val="26"/>
          <w:szCs w:val="26"/>
        </w:rPr>
        <w:t>14 catorce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C32EA3">
        <w:rPr>
          <w:rFonts w:ascii="Calibri" w:hAnsi="Calibri"/>
          <w:color w:val="7F7F7F" w:themeColor="text1" w:themeTint="80"/>
          <w:sz w:val="26"/>
          <w:szCs w:val="26"/>
        </w:rPr>
        <w:t>.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C32EA3">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470704">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470704">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481CA7">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xml:space="preserve">, en contra de los actos </w:t>
      </w:r>
      <w:proofErr w:type="gramStart"/>
      <w:r w:rsidRPr="00BF5CA7">
        <w:rPr>
          <w:rFonts w:ascii="Calibri" w:hAnsi="Calibri" w:cs="Calibri"/>
          <w:color w:val="7F7F7F" w:themeColor="text1" w:themeTint="80"/>
          <w:sz w:val="26"/>
          <w:szCs w:val="26"/>
        </w:rPr>
        <w:t>impugnados</w:t>
      </w:r>
      <w:r w:rsidR="004328C1">
        <w:rPr>
          <w:rFonts w:ascii="Calibri" w:hAnsi="Calibri" w:cs="Arial"/>
          <w:color w:val="7F7F7F" w:themeColor="text1" w:themeTint="80"/>
          <w:sz w:val="26"/>
          <w:szCs w:val="26"/>
        </w:rPr>
        <w:t xml:space="preserve"> .</w:t>
      </w:r>
      <w:proofErr w:type="gramEnd"/>
      <w:r w:rsidR="004328C1">
        <w:rPr>
          <w:rFonts w:ascii="Calibri" w:hAnsi="Calibri" w:cs="Arial"/>
          <w:color w:val="7F7F7F" w:themeColor="text1" w:themeTint="80"/>
          <w:sz w:val="26"/>
          <w:szCs w:val="26"/>
        </w:rPr>
        <w:t xml:space="preserve">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814513">
        <w:rPr>
          <w:rFonts w:ascii="Calibri" w:hAnsi="Calibri"/>
          <w:b/>
          <w:color w:val="7F7F7F" w:themeColor="text1" w:themeTint="80"/>
          <w:sz w:val="26"/>
          <w:szCs w:val="26"/>
        </w:rPr>
        <w:t xml:space="preserve">14 </w:t>
      </w:r>
      <w:r w:rsidR="00814513" w:rsidRPr="0030638D">
        <w:rPr>
          <w:rFonts w:ascii="Calibri" w:hAnsi="Calibri"/>
          <w:color w:val="7F7F7F" w:themeColor="text1" w:themeTint="80"/>
          <w:sz w:val="26"/>
          <w:szCs w:val="26"/>
        </w:rPr>
        <w:t>catorce de</w:t>
      </w:r>
      <w:r w:rsidR="00814513">
        <w:rPr>
          <w:rFonts w:ascii="Calibri" w:hAnsi="Calibri"/>
          <w:b/>
          <w:color w:val="7F7F7F" w:themeColor="text1" w:themeTint="80"/>
          <w:sz w:val="26"/>
          <w:szCs w:val="26"/>
        </w:rPr>
        <w:t xml:space="preserv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D64D29">
        <w:rPr>
          <w:rFonts w:ascii="Calibri" w:hAnsi="Calibri"/>
          <w:b/>
          <w:color w:val="7F7F7F" w:themeColor="text1" w:themeTint="80"/>
          <w:sz w:val="26"/>
          <w:szCs w:val="26"/>
        </w:rPr>
        <w:t>0263</w:t>
      </w:r>
      <w:r w:rsidR="00A57007">
        <w:rPr>
          <w:rFonts w:ascii="Calibri" w:hAnsi="Calibri"/>
          <w:b/>
          <w:color w:val="7F7F7F" w:themeColor="text1" w:themeTint="80"/>
          <w:sz w:val="26"/>
          <w:szCs w:val="26"/>
        </w:rPr>
        <w:t>/2015</w:t>
      </w:r>
      <w:r w:rsidR="00324A7D">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y</w:t>
      </w:r>
      <w:r w:rsidR="0030638D">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w:t>
      </w:r>
      <w:r w:rsidR="00656D08" w:rsidRPr="00656D08">
        <w:rPr>
          <w:rFonts w:ascii="Calibri" w:hAnsi="Calibri"/>
          <w:bCs/>
          <w:color w:val="7F7F7F" w:themeColor="text1" w:themeTint="80"/>
          <w:sz w:val="26"/>
          <w:szCs w:val="26"/>
        </w:rPr>
        <w:lastRenderedPageBreak/>
        <w:t>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w:t>
      </w:r>
      <w:r w:rsidR="00C32EA3">
        <w:rPr>
          <w:rFonts w:ascii="Calibri" w:hAnsi="Calibri" w:cs="Arial"/>
          <w:color w:val="7F7F7F" w:themeColor="text1" w:themeTint="80"/>
          <w:sz w:val="26"/>
          <w:szCs w:val="26"/>
        </w:rPr>
        <w:t xml:space="preserve">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814513">
        <w:rPr>
          <w:rFonts w:ascii="Calibri" w:hAnsi="Calibri"/>
          <w:color w:val="7F7F7F" w:themeColor="text1" w:themeTint="80"/>
          <w:sz w:val="26"/>
          <w:szCs w:val="26"/>
        </w:rPr>
        <w:t>14 catorce de mayo</w:t>
      </w:r>
      <w:r w:rsidR="008E0AB6" w:rsidRPr="00BF5CA7">
        <w:rPr>
          <w:rFonts w:ascii="Calibri" w:hAnsi="Calibri"/>
          <w:color w:val="7F7F7F" w:themeColor="text1" w:themeTint="80"/>
          <w:sz w:val="26"/>
          <w:szCs w:val="26"/>
        </w:rPr>
        <w:t xml:space="preserve"> del año 2015 dos mil quince, sobre </w:t>
      </w:r>
      <w:r w:rsidR="008E0AB6" w:rsidRPr="0028391D">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28391D">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w:t>
      </w:r>
      <w:r w:rsidR="00481CA7">
        <w:rPr>
          <w:rFonts w:ascii="Calibri" w:hAnsi="Calibri"/>
          <w:color w:val="7F7F7F" w:themeColor="text1" w:themeTint="80"/>
          <w:sz w:val="26"/>
          <w:szCs w:val="26"/>
        </w:rPr>
        <w:t>*****</w:t>
      </w:r>
      <w:r w:rsidR="00E538D7">
        <w:rPr>
          <w:rFonts w:ascii="Calibri" w:hAnsi="Calibri"/>
          <w:color w:val="7F7F7F" w:themeColor="text1" w:themeTint="80"/>
          <w:sz w:val="26"/>
          <w:szCs w:val="26"/>
        </w:rPr>
        <w:t xml:space="preserve"> </w:t>
      </w:r>
      <w:r w:rsidR="00FE6FD0">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C32EA3">
        <w:rPr>
          <w:rFonts w:ascii="Calibri" w:hAnsi="Calibri" w:cs="Calibri"/>
          <w:color w:val="7F7F7F" w:themeColor="text1" w:themeTint="80"/>
          <w:sz w:val="26"/>
          <w:szCs w:val="26"/>
        </w:rPr>
        <w:t xml:space="preserve"> . </w:t>
      </w:r>
    </w:p>
    <w:p w:rsidR="00345365" w:rsidRPr="00C32EA3"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C32EA3" w:rsidRDefault="00C32EA3" w:rsidP="004B3DFC">
      <w:pPr>
        <w:pStyle w:val="Textoindependiente"/>
        <w:rPr>
          <w:rFonts w:ascii="Calibri" w:hAnsi="Calibri" w:cs="Arial"/>
          <w:color w:val="7F7F7F" w:themeColor="text1" w:themeTint="80"/>
          <w:sz w:val="26"/>
          <w:szCs w:val="26"/>
        </w:rPr>
      </w:pPr>
    </w:p>
    <w:p w:rsidR="00C32EA3" w:rsidRDefault="00C32EA3" w:rsidP="00C32EA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446/2015-JN</w:t>
      </w:r>
    </w:p>
    <w:p w:rsidR="00C32EA3" w:rsidRDefault="00C32EA3"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Default="00B2406B"/>
    <w:p w:rsidR="00B2406B" w:rsidRPr="00D22F2D" w:rsidRDefault="00B2406B" w:rsidP="00B2406B">
      <w:pPr>
        <w:ind w:firstLine="708"/>
        <w:jc w:val="both"/>
        <w:rPr>
          <w:rFonts w:asciiTheme="minorHAnsi" w:hAnsiTheme="minorHAnsi"/>
          <w:b/>
          <w:color w:val="767171" w:themeColor="background2" w:themeShade="80"/>
        </w:rPr>
      </w:pPr>
      <w:r w:rsidRPr="00D22F2D">
        <w:rPr>
          <w:rFonts w:asciiTheme="minorHAnsi" w:hAnsiTheme="minorHAnsi"/>
          <w:b/>
          <w:color w:val="767171" w:themeColor="background2" w:themeShade="80"/>
        </w:rPr>
        <w:t>LA PRESENTE FOJA FORMA PARTE DE LA SENTENCIA DICTADA EL DÍA 1</w:t>
      </w:r>
      <w:r w:rsidR="009D682E">
        <w:rPr>
          <w:rFonts w:asciiTheme="minorHAnsi" w:hAnsiTheme="minorHAnsi"/>
          <w:b/>
          <w:color w:val="767171" w:themeColor="background2" w:themeShade="80"/>
        </w:rPr>
        <w:t>8</w:t>
      </w:r>
      <w:r w:rsidRPr="00D22F2D">
        <w:rPr>
          <w:rFonts w:asciiTheme="minorHAnsi" w:hAnsiTheme="minorHAnsi"/>
          <w:b/>
          <w:color w:val="767171" w:themeColor="background2" w:themeShade="80"/>
        </w:rPr>
        <w:t xml:space="preserve"> DIECI</w:t>
      </w:r>
      <w:r w:rsidR="009D682E">
        <w:rPr>
          <w:rFonts w:asciiTheme="minorHAnsi" w:hAnsiTheme="minorHAnsi"/>
          <w:b/>
          <w:color w:val="767171" w:themeColor="background2" w:themeShade="80"/>
        </w:rPr>
        <w:t>OCHO</w:t>
      </w:r>
      <w:r w:rsidRPr="00D22F2D">
        <w:rPr>
          <w:rFonts w:asciiTheme="minorHAnsi" w:hAnsiTheme="minorHAnsi"/>
          <w:b/>
          <w:color w:val="767171" w:themeColor="background2" w:themeShade="80"/>
        </w:rPr>
        <w:t xml:space="preserve"> DE ABRIL DEL AÑO 2017 DOS MIL DIECISIETE, EN EL PROCESO ADMINISTRATIVO CON NÚMERO </w:t>
      </w:r>
      <w:r>
        <w:rPr>
          <w:rFonts w:asciiTheme="minorHAnsi" w:hAnsiTheme="minorHAnsi"/>
          <w:b/>
          <w:color w:val="767171" w:themeColor="background2" w:themeShade="80"/>
        </w:rPr>
        <w:t>446</w:t>
      </w:r>
      <w:r w:rsidRPr="00D22F2D">
        <w:rPr>
          <w:rFonts w:asciiTheme="minorHAnsi" w:hAnsiTheme="minorHAnsi"/>
          <w:b/>
          <w:color w:val="767171" w:themeColor="background2" w:themeShade="80"/>
        </w:rPr>
        <w:t>/2015-JN.</w:t>
      </w:r>
      <w:r>
        <w:rPr>
          <w:rFonts w:asciiTheme="minorHAnsi" w:hAnsiTheme="minorHAnsi"/>
          <w:b/>
          <w:color w:val="767171" w:themeColor="background2" w:themeShade="80"/>
        </w:rPr>
        <w:t xml:space="preserve"> . . . . . . . . . . . . . . . . . . . . . . . . . . . . . . . . . </w:t>
      </w:r>
    </w:p>
    <w:p w:rsidR="00B2406B" w:rsidRDefault="00B2406B"/>
    <w:sectPr w:rsidR="00B2406B" w:rsidSect="00BF5E63">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B8" w:rsidRDefault="008C75B8">
      <w:r>
        <w:separator/>
      </w:r>
    </w:p>
  </w:endnote>
  <w:endnote w:type="continuationSeparator" w:id="0">
    <w:p w:rsidR="008C75B8" w:rsidRDefault="008C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B8" w:rsidRDefault="008C75B8">
      <w:r>
        <w:separator/>
      </w:r>
    </w:p>
  </w:footnote>
  <w:footnote w:type="continuationSeparator" w:id="0">
    <w:p w:rsidR="008C75B8" w:rsidRDefault="008C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8C75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1CA7">
      <w:rPr>
        <w:rStyle w:val="Nmerodepgina"/>
        <w:noProof/>
      </w:rPr>
      <w:t>2</w:t>
    </w:r>
    <w:r>
      <w:rPr>
        <w:rStyle w:val="Nmerodepgina"/>
      </w:rPr>
      <w:fldChar w:fldCharType="end"/>
    </w:r>
  </w:p>
  <w:p w:rsidR="00A70119" w:rsidRDefault="008C75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210EF"/>
    <w:rsid w:val="000314EF"/>
    <w:rsid w:val="000410EB"/>
    <w:rsid w:val="0006631B"/>
    <w:rsid w:val="00074B0E"/>
    <w:rsid w:val="000909AE"/>
    <w:rsid w:val="000954F8"/>
    <w:rsid w:val="000A4ED3"/>
    <w:rsid w:val="000B4397"/>
    <w:rsid w:val="000C6B3D"/>
    <w:rsid w:val="000D6D33"/>
    <w:rsid w:val="000E019D"/>
    <w:rsid w:val="000F12ED"/>
    <w:rsid w:val="000F71B5"/>
    <w:rsid w:val="00114938"/>
    <w:rsid w:val="00134594"/>
    <w:rsid w:val="00140A1C"/>
    <w:rsid w:val="0015474B"/>
    <w:rsid w:val="001731BD"/>
    <w:rsid w:val="0018462E"/>
    <w:rsid w:val="00193C54"/>
    <w:rsid w:val="001B2D7D"/>
    <w:rsid w:val="001C1EB4"/>
    <w:rsid w:val="001D2D49"/>
    <w:rsid w:val="001E492B"/>
    <w:rsid w:val="00202A4D"/>
    <w:rsid w:val="00231AD0"/>
    <w:rsid w:val="00245DB1"/>
    <w:rsid w:val="002802A8"/>
    <w:rsid w:val="00281B2A"/>
    <w:rsid w:val="0028391D"/>
    <w:rsid w:val="002919BC"/>
    <w:rsid w:val="00295DA4"/>
    <w:rsid w:val="002974BB"/>
    <w:rsid w:val="0030638D"/>
    <w:rsid w:val="00324A7D"/>
    <w:rsid w:val="0033670C"/>
    <w:rsid w:val="00343E70"/>
    <w:rsid w:val="0034453B"/>
    <w:rsid w:val="00345365"/>
    <w:rsid w:val="00355D69"/>
    <w:rsid w:val="00363074"/>
    <w:rsid w:val="0038550B"/>
    <w:rsid w:val="00396A7F"/>
    <w:rsid w:val="003C319B"/>
    <w:rsid w:val="003D0B6B"/>
    <w:rsid w:val="003F0CFE"/>
    <w:rsid w:val="0041005A"/>
    <w:rsid w:val="004328C1"/>
    <w:rsid w:val="00436BB1"/>
    <w:rsid w:val="00454C5C"/>
    <w:rsid w:val="00470704"/>
    <w:rsid w:val="0047616C"/>
    <w:rsid w:val="0047708E"/>
    <w:rsid w:val="00481CA7"/>
    <w:rsid w:val="0049794B"/>
    <w:rsid w:val="004A41DC"/>
    <w:rsid w:val="004B3DFC"/>
    <w:rsid w:val="004C1AE0"/>
    <w:rsid w:val="004C212B"/>
    <w:rsid w:val="004E2B17"/>
    <w:rsid w:val="004F4506"/>
    <w:rsid w:val="00562A66"/>
    <w:rsid w:val="00562F72"/>
    <w:rsid w:val="00577C15"/>
    <w:rsid w:val="005820E3"/>
    <w:rsid w:val="005A1EAD"/>
    <w:rsid w:val="005C1EF8"/>
    <w:rsid w:val="005D15CD"/>
    <w:rsid w:val="005D3C27"/>
    <w:rsid w:val="006071F6"/>
    <w:rsid w:val="0064042F"/>
    <w:rsid w:val="00645732"/>
    <w:rsid w:val="00656D08"/>
    <w:rsid w:val="00684D24"/>
    <w:rsid w:val="00685ED2"/>
    <w:rsid w:val="006A0ED9"/>
    <w:rsid w:val="006B0FF3"/>
    <w:rsid w:val="006D41F4"/>
    <w:rsid w:val="006E1F7A"/>
    <w:rsid w:val="006E2977"/>
    <w:rsid w:val="006E5AA9"/>
    <w:rsid w:val="006F15FA"/>
    <w:rsid w:val="006F3DF8"/>
    <w:rsid w:val="006F63DA"/>
    <w:rsid w:val="006F74D0"/>
    <w:rsid w:val="0070292F"/>
    <w:rsid w:val="00706056"/>
    <w:rsid w:val="00711C4D"/>
    <w:rsid w:val="00736742"/>
    <w:rsid w:val="00771B81"/>
    <w:rsid w:val="007806D6"/>
    <w:rsid w:val="00781737"/>
    <w:rsid w:val="007834F1"/>
    <w:rsid w:val="00784CB8"/>
    <w:rsid w:val="007926D3"/>
    <w:rsid w:val="007B3DCF"/>
    <w:rsid w:val="007D0FE8"/>
    <w:rsid w:val="007D6748"/>
    <w:rsid w:val="007D67C9"/>
    <w:rsid w:val="007F04D1"/>
    <w:rsid w:val="0080464C"/>
    <w:rsid w:val="008063DD"/>
    <w:rsid w:val="00814513"/>
    <w:rsid w:val="00832B72"/>
    <w:rsid w:val="00833B37"/>
    <w:rsid w:val="00834317"/>
    <w:rsid w:val="00871752"/>
    <w:rsid w:val="0088234D"/>
    <w:rsid w:val="00882A95"/>
    <w:rsid w:val="0088335F"/>
    <w:rsid w:val="008A53D5"/>
    <w:rsid w:val="008A5D63"/>
    <w:rsid w:val="008B535A"/>
    <w:rsid w:val="008B6F66"/>
    <w:rsid w:val="008C282C"/>
    <w:rsid w:val="008C61C6"/>
    <w:rsid w:val="008C75B8"/>
    <w:rsid w:val="008D5E9F"/>
    <w:rsid w:val="008E0AB6"/>
    <w:rsid w:val="008F0CF4"/>
    <w:rsid w:val="008F7CBC"/>
    <w:rsid w:val="00903827"/>
    <w:rsid w:val="00920B03"/>
    <w:rsid w:val="009429E2"/>
    <w:rsid w:val="009466BA"/>
    <w:rsid w:val="00951162"/>
    <w:rsid w:val="00951532"/>
    <w:rsid w:val="00953618"/>
    <w:rsid w:val="009661F2"/>
    <w:rsid w:val="00981D66"/>
    <w:rsid w:val="0098360E"/>
    <w:rsid w:val="00992C9C"/>
    <w:rsid w:val="0099550F"/>
    <w:rsid w:val="009964FC"/>
    <w:rsid w:val="009A23DB"/>
    <w:rsid w:val="009A50BE"/>
    <w:rsid w:val="009A69D8"/>
    <w:rsid w:val="009B4FBA"/>
    <w:rsid w:val="009D682E"/>
    <w:rsid w:val="009E10FA"/>
    <w:rsid w:val="009E15DC"/>
    <w:rsid w:val="00A02F6E"/>
    <w:rsid w:val="00A10634"/>
    <w:rsid w:val="00A141A2"/>
    <w:rsid w:val="00A17A21"/>
    <w:rsid w:val="00A217CD"/>
    <w:rsid w:val="00A22410"/>
    <w:rsid w:val="00A2439F"/>
    <w:rsid w:val="00A32EE2"/>
    <w:rsid w:val="00A33907"/>
    <w:rsid w:val="00A57007"/>
    <w:rsid w:val="00A8545F"/>
    <w:rsid w:val="00A93F75"/>
    <w:rsid w:val="00A971E6"/>
    <w:rsid w:val="00A97819"/>
    <w:rsid w:val="00A97A65"/>
    <w:rsid w:val="00AB7C8F"/>
    <w:rsid w:val="00AC206B"/>
    <w:rsid w:val="00AC308A"/>
    <w:rsid w:val="00AE1A6F"/>
    <w:rsid w:val="00AE3E7D"/>
    <w:rsid w:val="00B05B82"/>
    <w:rsid w:val="00B106D7"/>
    <w:rsid w:val="00B2406B"/>
    <w:rsid w:val="00B37808"/>
    <w:rsid w:val="00B427DE"/>
    <w:rsid w:val="00B62D66"/>
    <w:rsid w:val="00B65360"/>
    <w:rsid w:val="00B75A23"/>
    <w:rsid w:val="00B75DD6"/>
    <w:rsid w:val="00B82CC3"/>
    <w:rsid w:val="00BB36E8"/>
    <w:rsid w:val="00BC5DA4"/>
    <w:rsid w:val="00BE73AD"/>
    <w:rsid w:val="00BF0BF6"/>
    <w:rsid w:val="00BF5E63"/>
    <w:rsid w:val="00BF6197"/>
    <w:rsid w:val="00C10076"/>
    <w:rsid w:val="00C10164"/>
    <w:rsid w:val="00C22DC8"/>
    <w:rsid w:val="00C32EA3"/>
    <w:rsid w:val="00C464F2"/>
    <w:rsid w:val="00C46636"/>
    <w:rsid w:val="00C72228"/>
    <w:rsid w:val="00C73B77"/>
    <w:rsid w:val="00CA2C14"/>
    <w:rsid w:val="00CB482D"/>
    <w:rsid w:val="00CE2374"/>
    <w:rsid w:val="00CE396D"/>
    <w:rsid w:val="00CE7B1B"/>
    <w:rsid w:val="00CF7B38"/>
    <w:rsid w:val="00D1202C"/>
    <w:rsid w:val="00D14E8F"/>
    <w:rsid w:val="00D2786B"/>
    <w:rsid w:val="00D30188"/>
    <w:rsid w:val="00D36AA9"/>
    <w:rsid w:val="00D36C23"/>
    <w:rsid w:val="00D37876"/>
    <w:rsid w:val="00D4766E"/>
    <w:rsid w:val="00D61484"/>
    <w:rsid w:val="00D64D29"/>
    <w:rsid w:val="00D77803"/>
    <w:rsid w:val="00D77B11"/>
    <w:rsid w:val="00D908B8"/>
    <w:rsid w:val="00DB641E"/>
    <w:rsid w:val="00DE0314"/>
    <w:rsid w:val="00DE6EB7"/>
    <w:rsid w:val="00DF0A60"/>
    <w:rsid w:val="00DF3DD6"/>
    <w:rsid w:val="00E0072D"/>
    <w:rsid w:val="00E16C1B"/>
    <w:rsid w:val="00E31BEB"/>
    <w:rsid w:val="00E50512"/>
    <w:rsid w:val="00E538D7"/>
    <w:rsid w:val="00E54AA9"/>
    <w:rsid w:val="00E77635"/>
    <w:rsid w:val="00E83986"/>
    <w:rsid w:val="00E9471A"/>
    <w:rsid w:val="00E950DE"/>
    <w:rsid w:val="00E959B2"/>
    <w:rsid w:val="00EA36B8"/>
    <w:rsid w:val="00EA4780"/>
    <w:rsid w:val="00EC7D6A"/>
    <w:rsid w:val="00EE4879"/>
    <w:rsid w:val="00EF558F"/>
    <w:rsid w:val="00F52045"/>
    <w:rsid w:val="00F54858"/>
    <w:rsid w:val="00F634CD"/>
    <w:rsid w:val="00F95EF2"/>
    <w:rsid w:val="00FA04C4"/>
    <w:rsid w:val="00FA5C47"/>
    <w:rsid w:val="00FA79FD"/>
    <w:rsid w:val="00FB227A"/>
    <w:rsid w:val="00FB6D86"/>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213661496">
      <w:bodyDiv w:val="1"/>
      <w:marLeft w:val="0"/>
      <w:marRight w:val="0"/>
      <w:marTop w:val="0"/>
      <w:marBottom w:val="0"/>
      <w:divBdr>
        <w:top w:val="none" w:sz="0" w:space="0" w:color="auto"/>
        <w:left w:val="none" w:sz="0" w:space="0" w:color="auto"/>
        <w:bottom w:val="none" w:sz="0" w:space="0" w:color="auto"/>
        <w:right w:val="none" w:sz="0" w:space="0" w:color="auto"/>
      </w:divBdr>
    </w:div>
    <w:div w:id="39328387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8172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4398</Words>
  <Characters>24192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2017-05-30T16:22:00Z</dcterms:created>
  <dcterms:modified xsi:type="dcterms:W3CDTF">2017-05-30T16:22:00Z</dcterms:modified>
</cp:coreProperties>
</file>